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40587" w14:textId="77777777" w:rsidR="00FE067E" w:rsidRDefault="00CD36CF" w:rsidP="00CC1F3B">
      <w:pPr>
        <w:pStyle w:val="TitlePageOrigin"/>
      </w:pPr>
      <w:r>
        <w:t>WEST virginia legislature</w:t>
      </w:r>
    </w:p>
    <w:p w14:paraId="7004B9AC" w14:textId="77777777" w:rsidR="00CD36CF" w:rsidRDefault="00CD36CF" w:rsidP="00CC1F3B">
      <w:pPr>
        <w:pStyle w:val="TitlePageSession"/>
      </w:pPr>
      <w:r>
        <w:t>20</w:t>
      </w:r>
      <w:r w:rsidR="007F29DD">
        <w:t>2</w:t>
      </w:r>
      <w:r w:rsidR="00743F31">
        <w:t>6</w:t>
      </w:r>
      <w:r>
        <w:t xml:space="preserve"> regular session</w:t>
      </w:r>
    </w:p>
    <w:p w14:paraId="0053ED14" w14:textId="77777777" w:rsidR="00CD36CF" w:rsidRDefault="00777C74" w:rsidP="00CC1F3B">
      <w:pPr>
        <w:pStyle w:val="TitlePageBillPrefix"/>
      </w:pPr>
      <w:sdt>
        <w:sdtPr>
          <w:tag w:val="IntroDate"/>
          <w:id w:val="-1236936958"/>
          <w:placeholder>
            <w:docPart w:val="A5F3424ECF3847C79A2730D8EDCFECD6"/>
          </w:placeholder>
          <w:text/>
        </w:sdtPr>
        <w:sdtEndPr/>
        <w:sdtContent>
          <w:r w:rsidR="00AE48A0">
            <w:t>Introduced</w:t>
          </w:r>
        </w:sdtContent>
      </w:sdt>
    </w:p>
    <w:p w14:paraId="2EBAD9D4" w14:textId="31C237D6" w:rsidR="00CD36CF" w:rsidRDefault="00777C74" w:rsidP="00CC1F3B">
      <w:pPr>
        <w:pStyle w:val="BillNumber"/>
      </w:pPr>
      <w:sdt>
        <w:sdtPr>
          <w:tag w:val="Chamber"/>
          <w:id w:val="893011969"/>
          <w:lock w:val="sdtLocked"/>
          <w:placeholder>
            <w:docPart w:val="77798D86750E4FE4A5AEB669F12A735F"/>
          </w:placeholder>
          <w:dropDownList>
            <w:listItem w:displayText="House" w:value="House"/>
            <w:listItem w:displayText="Senate" w:value="Senate"/>
          </w:dropDownList>
        </w:sdtPr>
        <w:sdtEndPr/>
        <w:sdtContent>
          <w:r w:rsidR="005D7E17">
            <w:t>Senate</w:t>
          </w:r>
        </w:sdtContent>
      </w:sdt>
      <w:r w:rsidR="00303684">
        <w:t xml:space="preserve"> </w:t>
      </w:r>
      <w:r w:rsidR="00CD36CF">
        <w:t xml:space="preserve">Bill </w:t>
      </w:r>
      <w:sdt>
        <w:sdtPr>
          <w:tag w:val="BNum"/>
          <w:id w:val="1645317809"/>
          <w:lock w:val="sdtLocked"/>
          <w:placeholder>
            <w:docPart w:val="D39944E60E1F49749538DCDB18E366FF"/>
          </w:placeholder>
          <w:text/>
        </w:sdtPr>
        <w:sdtEndPr/>
        <w:sdtContent>
          <w:r w:rsidR="00D666EE">
            <w:t>1046</w:t>
          </w:r>
        </w:sdtContent>
      </w:sdt>
    </w:p>
    <w:p w14:paraId="51437162" w14:textId="3C332282" w:rsidR="00CD36CF" w:rsidRDefault="00CD36CF" w:rsidP="00CC1F3B">
      <w:pPr>
        <w:pStyle w:val="Sponsors"/>
      </w:pPr>
      <w:r>
        <w:t xml:space="preserve">By </w:t>
      </w:r>
      <w:sdt>
        <w:sdtPr>
          <w:tag w:val="Sponsors"/>
          <w:id w:val="1589585889"/>
          <w:placeholder>
            <w:docPart w:val="0822BCAC13484EBD81145E61C77A58A5"/>
          </w:placeholder>
          <w:text w:multiLine="1"/>
        </w:sdtPr>
        <w:sdtEndPr/>
        <w:sdtContent>
          <w:r w:rsidR="005456F2">
            <w:t>Senator Bartlett</w:t>
          </w:r>
        </w:sdtContent>
      </w:sdt>
    </w:p>
    <w:p w14:paraId="23619CE3" w14:textId="5F93352A" w:rsidR="00E831B3" w:rsidRDefault="00CD36CF" w:rsidP="005456F2">
      <w:pPr>
        <w:pStyle w:val="References"/>
      </w:pPr>
      <w:r>
        <w:t>[</w:t>
      </w:r>
      <w:sdt>
        <w:sdtPr>
          <w:tag w:val="References"/>
          <w:id w:val="-1043047873"/>
          <w:placeholder>
            <w:docPart w:val="B01FE4F0E940481A9A7B7C95D2F7FC8B"/>
          </w:placeholder>
          <w:text w:multiLine="1"/>
        </w:sdtPr>
        <w:sdtEndPr/>
        <w:sdtContent>
          <w:r w:rsidR="005456F2">
            <w:t>Introduced</w:t>
          </w:r>
          <w:r w:rsidR="00D666EE">
            <w:t xml:space="preserve"> February 21, 2026</w:t>
          </w:r>
          <w:r w:rsidR="005456F2">
            <w:t>; referred</w:t>
          </w:r>
          <w:r w:rsidR="005456F2">
            <w:br/>
            <w:t xml:space="preserve">to the Committee on </w:t>
          </w:r>
          <w:r w:rsidR="00777C74">
            <w:t>the Judiciary</w:t>
          </w:r>
        </w:sdtContent>
      </w:sdt>
      <w:r>
        <w:t>]</w:t>
      </w:r>
    </w:p>
    <w:p w14:paraId="72CC7399" w14:textId="652BF1D9" w:rsidR="00303684" w:rsidRDefault="0000526A" w:rsidP="00CC1F3B">
      <w:pPr>
        <w:pStyle w:val="TitleSection"/>
      </w:pPr>
      <w:r>
        <w:lastRenderedPageBreak/>
        <w:t>A BILL</w:t>
      </w:r>
      <w:r w:rsidR="00F83804">
        <w:t xml:space="preserve"> to amend and reenact </w:t>
      </w:r>
      <w:r w:rsidR="00F83804" w:rsidRPr="00F83804">
        <w:t>§61-</w:t>
      </w:r>
      <w:r w:rsidR="00F83804">
        <w:t>8B-3 and</w:t>
      </w:r>
      <w:r w:rsidR="00F83804" w:rsidRPr="00F83804">
        <w:t xml:space="preserve"> §62-3-</w:t>
      </w:r>
      <w:r w:rsidR="00F83804">
        <w:t xml:space="preserve">15 </w:t>
      </w:r>
      <w:r w:rsidR="00F83804" w:rsidRPr="00F83804">
        <w:t>of the Code of West Virginia, 1931, as amended</w:t>
      </w:r>
      <w:r w:rsidR="005456F2">
        <w:t xml:space="preserve">, </w:t>
      </w:r>
      <w:r w:rsidR="00F83804">
        <w:t xml:space="preserve">relating to the penalty for first degree sexual assault; raising the fine for first degree sexual assault; providing that life in prison is the sentence for first degree sexual assault when the defendant is over </w:t>
      </w:r>
      <w:r w:rsidR="005456F2">
        <w:t>18</w:t>
      </w:r>
      <w:r w:rsidR="00F83804">
        <w:t xml:space="preserve"> years old and the victim is younger than </w:t>
      </w:r>
      <w:r w:rsidR="005456F2">
        <w:t>12</w:t>
      </w:r>
      <w:r w:rsidR="00F83804">
        <w:t xml:space="preserve">; </w:t>
      </w:r>
      <w:r w:rsidR="005456F2">
        <w:t xml:space="preserve">and </w:t>
      </w:r>
      <w:r w:rsidR="00F83804">
        <w:t>providing jury procedures when a defendant is eligible for life in prison for first degree sexual assault.</w:t>
      </w:r>
    </w:p>
    <w:p w14:paraId="287BAB32" w14:textId="77777777" w:rsidR="00303684" w:rsidRDefault="00303684" w:rsidP="00CC1F3B">
      <w:pPr>
        <w:pStyle w:val="EnactingClause"/>
        <w:sectPr w:rsidR="00303684" w:rsidSect="00A67C2A">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t>Be it enacted by the Legislature of West Virginia:</w:t>
      </w:r>
    </w:p>
    <w:p w14:paraId="2B636552" w14:textId="76212C10" w:rsidR="008736AA" w:rsidRDefault="00A67C2A" w:rsidP="00A67C2A">
      <w:pPr>
        <w:pStyle w:val="ChapterHeading"/>
      </w:pPr>
      <w:r>
        <w:t xml:space="preserve">Chapter 61. Crimes and Their Punishment. </w:t>
      </w:r>
    </w:p>
    <w:p w14:paraId="4A4585B8" w14:textId="0379FBAF" w:rsidR="00A67C2A" w:rsidRDefault="00A67C2A" w:rsidP="00A67C2A">
      <w:pPr>
        <w:pStyle w:val="ArticleHeading"/>
      </w:pPr>
      <w:r>
        <w:t>Article 8B. Sexual Offenses.</w:t>
      </w:r>
    </w:p>
    <w:p w14:paraId="33E8AF96" w14:textId="77777777" w:rsidR="00A67C2A" w:rsidRDefault="00A67C2A" w:rsidP="007B490B">
      <w:pPr>
        <w:pStyle w:val="SectionHeading"/>
        <w:sectPr w:rsidR="00A67C2A" w:rsidSect="00A67C2A">
          <w:type w:val="continuous"/>
          <w:pgSz w:w="12240" w:h="15840" w:code="1"/>
          <w:pgMar w:top="1440" w:right="1440" w:bottom="1440" w:left="1440" w:header="720" w:footer="720" w:gutter="0"/>
          <w:lnNumType w:countBy="1" w:restart="newSection"/>
          <w:cols w:space="720"/>
          <w:titlePg/>
          <w:docGrid w:linePitch="360"/>
        </w:sectPr>
      </w:pPr>
      <w:r w:rsidRPr="007B490B">
        <w:t>§61-8B-3. Sexual assault in the first degree.</w:t>
      </w:r>
    </w:p>
    <w:p w14:paraId="00A4DFD8" w14:textId="77777777" w:rsidR="00A67C2A" w:rsidRPr="007B490B" w:rsidRDefault="00A67C2A" w:rsidP="007B490B">
      <w:pPr>
        <w:pStyle w:val="SectionBody"/>
      </w:pPr>
      <w:r w:rsidRPr="007B490B">
        <w:t>(a) A person is guilty of sexual assault in the first degree when:</w:t>
      </w:r>
    </w:p>
    <w:p w14:paraId="502C067C" w14:textId="77777777" w:rsidR="00A67C2A" w:rsidRPr="007B490B" w:rsidRDefault="00A67C2A" w:rsidP="007B490B">
      <w:pPr>
        <w:pStyle w:val="SectionBody"/>
      </w:pPr>
      <w:r w:rsidRPr="007B490B">
        <w:t>(1) The person engages in sexual intercourse or sexual intrusion with another person and, in so doing:</w:t>
      </w:r>
    </w:p>
    <w:p w14:paraId="4401928C" w14:textId="77777777" w:rsidR="00A67C2A" w:rsidRPr="007B490B" w:rsidRDefault="00A67C2A" w:rsidP="007B490B">
      <w:pPr>
        <w:pStyle w:val="SectionBody"/>
      </w:pPr>
      <w:r w:rsidRPr="007B490B">
        <w:t xml:space="preserve">(A) Inflicts serious bodily injury upon anyone; </w:t>
      </w:r>
    </w:p>
    <w:p w14:paraId="0B5FDF74" w14:textId="77777777" w:rsidR="00A67C2A" w:rsidRPr="007B490B" w:rsidRDefault="00A67C2A" w:rsidP="007B490B">
      <w:pPr>
        <w:pStyle w:val="SectionBody"/>
      </w:pPr>
      <w:r w:rsidRPr="00A67C2A">
        <w:rPr>
          <w:strike/>
        </w:rPr>
        <w:t>(ii)</w:t>
      </w:r>
      <w:r w:rsidRPr="007B490B">
        <w:t xml:space="preserve"> (B) Employs a deadly weapon in the commission of the act. </w:t>
      </w:r>
    </w:p>
    <w:p w14:paraId="780C0967" w14:textId="77777777" w:rsidR="00A67C2A" w:rsidRPr="007B490B" w:rsidRDefault="00A67C2A" w:rsidP="007B490B">
      <w:pPr>
        <w:pStyle w:val="SectionBody"/>
      </w:pPr>
      <w:r w:rsidRPr="007B490B">
        <w:t>(2) The person, being 14 years old or more, engages in sexual intercourse or sexual intrusion with another person who is younger than 12 years old.</w:t>
      </w:r>
    </w:p>
    <w:p w14:paraId="00D1B154" w14:textId="43F8515A" w:rsidR="00A67C2A" w:rsidRPr="007B490B" w:rsidRDefault="00A67C2A" w:rsidP="007B490B">
      <w:pPr>
        <w:pStyle w:val="SectionBody"/>
      </w:pPr>
      <w:r w:rsidRPr="007B490B">
        <w:t xml:space="preserve">(b) Any person violating the provisions of this section is guilty of a felony and, upon conviction thereof, shall be fined not less than </w:t>
      </w:r>
      <w:r w:rsidRPr="00405D3F">
        <w:rPr>
          <w:strike/>
        </w:rPr>
        <w:t>$1,000</w:t>
      </w:r>
      <w:r w:rsidRPr="007B490B">
        <w:t xml:space="preserve"> </w:t>
      </w:r>
      <w:r w:rsidR="00405D3F" w:rsidRPr="00405D3F">
        <w:rPr>
          <w:u w:val="single"/>
        </w:rPr>
        <w:t>$10,000</w:t>
      </w:r>
      <w:r w:rsidR="00405D3F">
        <w:t xml:space="preserve"> </w:t>
      </w:r>
      <w:r w:rsidRPr="007B490B">
        <w:t xml:space="preserve">nor more than </w:t>
      </w:r>
      <w:r w:rsidRPr="00405D3F">
        <w:rPr>
          <w:strike/>
        </w:rPr>
        <w:t>$10,000</w:t>
      </w:r>
      <w:r w:rsidRPr="007B490B">
        <w:t xml:space="preserve"> </w:t>
      </w:r>
      <w:r w:rsidR="00405D3F" w:rsidRPr="00405D3F">
        <w:rPr>
          <w:u w:val="single"/>
        </w:rPr>
        <w:t>$100,000</w:t>
      </w:r>
      <w:r w:rsidR="00405D3F">
        <w:t xml:space="preserve"> </w:t>
      </w:r>
      <w:r w:rsidRPr="007B490B">
        <w:t>and imprisoned in a state correctional facility not less than 15 nor more than 35 years.</w:t>
      </w:r>
    </w:p>
    <w:p w14:paraId="078C8F34" w14:textId="7F19FFDA" w:rsidR="00A67C2A" w:rsidRPr="007B490B" w:rsidRDefault="00A67C2A" w:rsidP="007B490B">
      <w:pPr>
        <w:pStyle w:val="SectionBody"/>
      </w:pPr>
      <w:r w:rsidRPr="007B490B">
        <w:t xml:space="preserve">(c) Notwithstanding the provisions of subsection (b) of this section, </w:t>
      </w:r>
      <w:r w:rsidRPr="00617ACC">
        <w:rPr>
          <w:strike/>
        </w:rPr>
        <w:t>the penalty for</w:t>
      </w:r>
      <w:r w:rsidRPr="007B490B">
        <w:t xml:space="preserve"> any person </w:t>
      </w:r>
      <w:r w:rsidR="00617ACC" w:rsidRPr="00617ACC">
        <w:rPr>
          <w:u w:val="single"/>
        </w:rPr>
        <w:t>found guilty of</w:t>
      </w:r>
      <w:r w:rsidR="00617ACC">
        <w:t xml:space="preserve"> </w:t>
      </w:r>
      <w:r w:rsidRPr="007B490B">
        <w:t xml:space="preserve">violating the provisions of subsection (a) of this section who is 18 years of age or older and whose victim is younger than 12 years of age, shall be </w:t>
      </w:r>
      <w:r w:rsidRPr="004B352E">
        <w:rPr>
          <w:strike/>
        </w:rPr>
        <w:t>imprisonment</w:t>
      </w:r>
      <w:r w:rsidRPr="007B490B">
        <w:t xml:space="preserve"> </w:t>
      </w:r>
      <w:r w:rsidR="004B352E">
        <w:rPr>
          <w:u w:val="single"/>
        </w:rPr>
        <w:t xml:space="preserve">imprisoned </w:t>
      </w:r>
      <w:r w:rsidRPr="007B490B">
        <w:t xml:space="preserve">in a state correctional facility for </w:t>
      </w:r>
      <w:r w:rsidRPr="00617ACC">
        <w:rPr>
          <w:strike/>
        </w:rPr>
        <w:t>not less than 25 nor more than 100 years</w:t>
      </w:r>
      <w:r w:rsidRPr="007B490B">
        <w:t xml:space="preserve"> </w:t>
      </w:r>
      <w:r w:rsidR="00617ACC" w:rsidRPr="00617ACC">
        <w:rPr>
          <w:u w:val="single"/>
        </w:rPr>
        <w:t>life</w:t>
      </w:r>
      <w:r w:rsidR="00617ACC">
        <w:t xml:space="preserve"> </w:t>
      </w:r>
      <w:r w:rsidRPr="007B490B">
        <w:t xml:space="preserve">and a fine of not less than </w:t>
      </w:r>
      <w:r w:rsidRPr="00617ACC">
        <w:rPr>
          <w:strike/>
        </w:rPr>
        <w:t>$5,000</w:t>
      </w:r>
      <w:r w:rsidRPr="007B490B">
        <w:t xml:space="preserve"> </w:t>
      </w:r>
      <w:r w:rsidR="00617ACC" w:rsidRPr="00617ACC">
        <w:rPr>
          <w:u w:val="single"/>
        </w:rPr>
        <w:t>$50,000</w:t>
      </w:r>
      <w:r w:rsidR="00617ACC">
        <w:t xml:space="preserve"> </w:t>
      </w:r>
      <w:r w:rsidRPr="007B490B">
        <w:t xml:space="preserve">nor more than </w:t>
      </w:r>
      <w:r w:rsidRPr="00617ACC">
        <w:rPr>
          <w:strike/>
        </w:rPr>
        <w:t>$25,000</w:t>
      </w:r>
      <w:r w:rsidR="00617ACC">
        <w:t xml:space="preserve"> </w:t>
      </w:r>
      <w:r w:rsidR="00617ACC" w:rsidRPr="00617ACC">
        <w:rPr>
          <w:u w:val="single"/>
        </w:rPr>
        <w:t>$250,000</w:t>
      </w:r>
      <w:r w:rsidRPr="007B490B">
        <w:t>.</w:t>
      </w:r>
    </w:p>
    <w:p w14:paraId="3FE463F4" w14:textId="77777777" w:rsidR="00A67C2A" w:rsidRDefault="00A67C2A" w:rsidP="00A67C2A">
      <w:pPr>
        <w:pStyle w:val="ArticleHeading"/>
        <w:sectPr w:rsidR="00A67C2A" w:rsidSect="00A67C2A">
          <w:type w:val="continuous"/>
          <w:pgSz w:w="12240" w:h="15840" w:code="1"/>
          <w:pgMar w:top="1440" w:right="1440" w:bottom="1440" w:left="1440" w:header="720" w:footer="720" w:gutter="0"/>
          <w:lnNumType w:countBy="1" w:restart="newSection"/>
          <w:cols w:space="720"/>
          <w:titlePg/>
          <w:docGrid w:linePitch="360"/>
        </w:sectPr>
      </w:pPr>
    </w:p>
    <w:p w14:paraId="09F6BD7E" w14:textId="06C359BE" w:rsidR="00A67C2A" w:rsidRDefault="00A67C2A" w:rsidP="00A67C2A">
      <w:pPr>
        <w:pStyle w:val="ChapterHeading"/>
      </w:pPr>
      <w:r>
        <w:lastRenderedPageBreak/>
        <w:t>Chapter 62. Criminal Procedure.</w:t>
      </w:r>
    </w:p>
    <w:p w14:paraId="5098963E" w14:textId="420EB387" w:rsidR="00A67C2A" w:rsidRDefault="00A67C2A" w:rsidP="00A67C2A">
      <w:pPr>
        <w:pStyle w:val="ArticleHeading"/>
      </w:pPr>
      <w:bookmarkStart w:id="0" w:name="_Hlk221263031"/>
      <w:r>
        <w:t xml:space="preserve">Article 3. Trial of Criminal Cases. </w:t>
      </w:r>
    </w:p>
    <w:p w14:paraId="7ABAB856" w14:textId="77777777" w:rsidR="00A67C2A" w:rsidRDefault="00A67C2A" w:rsidP="00A67C2A">
      <w:pPr>
        <w:pStyle w:val="SectionBody"/>
        <w:ind w:firstLine="0"/>
        <w:sectPr w:rsidR="00A67C2A" w:rsidSect="00A67C2A">
          <w:headerReference w:type="first" r:id="rId13"/>
          <w:footerReference w:type="first" r:id="rId14"/>
          <w:type w:val="continuous"/>
          <w:pgSz w:w="12240" w:h="15840" w:code="1"/>
          <w:pgMar w:top="1440" w:right="1440" w:bottom="1440" w:left="1440" w:header="720" w:footer="720" w:gutter="0"/>
          <w:lnNumType w:countBy="1" w:restart="newSection"/>
          <w:cols w:space="720"/>
          <w:titlePg/>
          <w:docGrid w:linePitch="360"/>
        </w:sectPr>
      </w:pPr>
    </w:p>
    <w:p w14:paraId="33A10C97" w14:textId="0C55981F" w:rsidR="00A67C2A" w:rsidRDefault="00A67C2A" w:rsidP="00A3124A">
      <w:pPr>
        <w:pStyle w:val="SectionHeading"/>
      </w:pPr>
      <w:r>
        <w:t xml:space="preserve">§62-3-15. Verdict and sentence in murder </w:t>
      </w:r>
      <w:r w:rsidR="00DA0790">
        <w:rPr>
          <w:u w:val="single"/>
        </w:rPr>
        <w:t xml:space="preserve">and first-degree sexual assault </w:t>
      </w:r>
      <w:r>
        <w:t>cases.</w:t>
      </w:r>
    </w:p>
    <w:p w14:paraId="053DF607" w14:textId="701055F6" w:rsidR="00A67C2A" w:rsidRDefault="00C74452" w:rsidP="00C74452">
      <w:pPr>
        <w:pStyle w:val="SectionBody"/>
      </w:pPr>
      <w:r w:rsidRPr="00C74452">
        <w:rPr>
          <w:u w:val="single"/>
        </w:rPr>
        <w:t>(a)</w:t>
      </w:r>
      <w:r>
        <w:t xml:space="preserve"> </w:t>
      </w:r>
      <w:r w:rsidR="00A67C2A">
        <w:t xml:space="preserve">If a person indicted for murder </w:t>
      </w:r>
      <w:r w:rsidR="00A67C2A" w:rsidRPr="00DA0790">
        <w:rPr>
          <w:strike/>
        </w:rPr>
        <w:t>be</w:t>
      </w:r>
      <w:r w:rsidR="00A67C2A">
        <w:t xml:space="preserve"> </w:t>
      </w:r>
      <w:r w:rsidR="00DA0790">
        <w:rPr>
          <w:u w:val="single"/>
        </w:rPr>
        <w:t xml:space="preserve">is </w:t>
      </w:r>
      <w:r w:rsidR="00A67C2A">
        <w:t xml:space="preserve">found </w:t>
      </w:r>
      <w:r w:rsidR="00DA0790">
        <w:rPr>
          <w:u w:val="single"/>
        </w:rPr>
        <w:t>guilty</w:t>
      </w:r>
      <w:r w:rsidR="00DA0790" w:rsidRPr="00C74452">
        <w:t xml:space="preserve"> </w:t>
      </w:r>
      <w:r w:rsidR="00A67C2A">
        <w:t>by the jury</w:t>
      </w:r>
      <w:r w:rsidR="007E5296">
        <w:t>,</w:t>
      </w:r>
      <w:r w:rsidR="00A67C2A">
        <w:t xml:space="preserve"> </w:t>
      </w:r>
      <w:r w:rsidR="00A67C2A" w:rsidRPr="00DA0790">
        <w:rPr>
          <w:strike/>
        </w:rPr>
        <w:t>guilty thereof</w:t>
      </w:r>
      <w:r w:rsidR="00A67C2A" w:rsidRPr="007E5296">
        <w:rPr>
          <w:strike/>
        </w:rPr>
        <w:t xml:space="preserve">, </w:t>
      </w:r>
      <w:r w:rsidR="00A67C2A" w:rsidRPr="004B352E">
        <w:rPr>
          <w:strike/>
        </w:rPr>
        <w:t>they</w:t>
      </w:r>
      <w:r w:rsidR="00A67C2A">
        <w:t xml:space="preserve"> </w:t>
      </w:r>
      <w:r w:rsidR="004B352E">
        <w:rPr>
          <w:u w:val="single"/>
        </w:rPr>
        <w:t xml:space="preserve">the jury </w:t>
      </w:r>
      <w:r w:rsidR="00A67C2A">
        <w:t>shall in their verdict find whether he or she is guilty of murder of the first degree or second degree.</w:t>
      </w:r>
      <w:r w:rsidR="00A67C2A" w:rsidRPr="00DA0790">
        <w:t xml:space="preserve"> If</w:t>
      </w:r>
      <w:r w:rsidR="00A67C2A" w:rsidRPr="007E5296">
        <w:t xml:space="preserve"> </w:t>
      </w:r>
      <w:r w:rsidR="00A67C2A" w:rsidRPr="00DA0790">
        <w:rPr>
          <w:strike/>
        </w:rPr>
        <w:t>the person indicted for murder is found by the jury guilty thereof, and if</w:t>
      </w:r>
      <w:r w:rsidR="00A67C2A">
        <w:t xml:space="preserve"> the jury find in their verdict that he or she is guilty of murder of the first degree, or if a person indicted for murder pleads guilty of murder of the first degree, he or she shall be punished by imprisonment in the penitentiary for life, and he or she, notwithstanding </w:t>
      </w:r>
      <w:r w:rsidR="00A67C2A" w:rsidRPr="00DA0790">
        <w:rPr>
          <w:strike/>
        </w:rPr>
        <w:t>the provisions of</w:t>
      </w:r>
      <w:r w:rsidR="00A67C2A">
        <w:t xml:space="preserve"> </w:t>
      </w:r>
      <w:r w:rsidR="00A67C2A" w:rsidRPr="00DA0790">
        <w:rPr>
          <w:strike/>
        </w:rPr>
        <w:t>article twelve, chapter sixty-two</w:t>
      </w:r>
      <w:r w:rsidR="00A67C2A">
        <w:t xml:space="preserve"> </w:t>
      </w:r>
      <w:r w:rsidR="00DA0790" w:rsidRPr="00DA0790">
        <w:rPr>
          <w:u w:val="single"/>
        </w:rPr>
        <w:t>§</w:t>
      </w:r>
      <w:r w:rsidR="00DA0790">
        <w:rPr>
          <w:u w:val="single"/>
        </w:rPr>
        <w:t xml:space="preserve">62-12-1 </w:t>
      </w:r>
      <w:r w:rsidR="00DA0790">
        <w:rPr>
          <w:i/>
          <w:iCs/>
          <w:u w:val="single"/>
        </w:rPr>
        <w:t>et seq.</w:t>
      </w:r>
      <w:r w:rsidR="00DA0790">
        <w:t xml:space="preserve"> </w:t>
      </w:r>
      <w:r w:rsidR="00A67C2A">
        <w:t xml:space="preserve">of this code, shall not be eligible for parole: </w:t>
      </w:r>
      <w:r w:rsidR="00A67C2A">
        <w:rPr>
          <w:i/>
          <w:iCs/>
        </w:rPr>
        <w:t>Provided,</w:t>
      </w:r>
      <w:r w:rsidR="00A67C2A">
        <w:t xml:space="preserve"> That the jury may, in their discretion, recommend mercy, and if such recommendation is added to their verdict, such person shall be eligible for parole in accordance with the provisions of </w:t>
      </w:r>
      <w:r w:rsidR="00A67C2A" w:rsidRPr="00DA0790">
        <w:rPr>
          <w:strike/>
        </w:rPr>
        <w:t>said article twelve</w:t>
      </w:r>
      <w:r w:rsidR="007E5296" w:rsidRPr="007E5296">
        <w:t xml:space="preserve"> </w:t>
      </w:r>
      <w:r w:rsidR="00DA0790" w:rsidRPr="00DA0790">
        <w:rPr>
          <w:u w:val="single"/>
        </w:rPr>
        <w:t>§</w:t>
      </w:r>
      <w:r w:rsidR="00DA0790">
        <w:rPr>
          <w:u w:val="single"/>
        </w:rPr>
        <w:t xml:space="preserve">62-12-1 </w:t>
      </w:r>
      <w:r w:rsidR="00DA0790">
        <w:rPr>
          <w:i/>
          <w:iCs/>
          <w:u w:val="single"/>
        </w:rPr>
        <w:t>et se</w:t>
      </w:r>
      <w:r w:rsidR="00DA0790" w:rsidRPr="00DF0A08">
        <w:rPr>
          <w:i/>
          <w:iCs/>
          <w:u w:val="single"/>
        </w:rPr>
        <w:t>q.</w:t>
      </w:r>
      <w:r w:rsidR="00DA0790" w:rsidRPr="00DF0A08">
        <w:rPr>
          <w:u w:val="single"/>
        </w:rPr>
        <w:t xml:space="preserve"> o</w:t>
      </w:r>
      <w:r w:rsidR="00DA0790" w:rsidRPr="00DA0790">
        <w:rPr>
          <w:u w:val="single"/>
        </w:rPr>
        <w:t>f this code</w:t>
      </w:r>
      <w:r w:rsidR="00A67C2A">
        <w:t xml:space="preserve">, except that, notwithstanding any other provision of this code to the contrary, such person shall not be eligible for parole until he or she has served </w:t>
      </w:r>
      <w:r w:rsidR="00E016BA">
        <w:t>15</w:t>
      </w:r>
      <w:r w:rsidR="00A67C2A">
        <w:t xml:space="preserve"> years: </w:t>
      </w:r>
      <w:r w:rsidR="00A67C2A">
        <w:rPr>
          <w:i/>
          <w:iCs/>
        </w:rPr>
        <w:t>Provided, however,</w:t>
      </w:r>
      <w:r w:rsidR="00A67C2A">
        <w:t xml:space="preserve"> That if the accused pleads guilty of murder of the first degree, the court may, in its discretion, provide that such person shall be eligible for parole in accordance with the provisions of </w:t>
      </w:r>
      <w:r w:rsidR="00A67C2A" w:rsidRPr="00DA0790">
        <w:rPr>
          <w:strike/>
        </w:rPr>
        <w:t>said article twelve</w:t>
      </w:r>
      <w:r w:rsidR="00DF0A08" w:rsidRPr="00DF0A08">
        <w:t xml:space="preserve"> </w:t>
      </w:r>
      <w:r w:rsidR="00DA0790" w:rsidRPr="00DF0A08">
        <w:rPr>
          <w:u w:val="single"/>
        </w:rPr>
        <w:t xml:space="preserve">§62-12-1 </w:t>
      </w:r>
      <w:r w:rsidR="00DA0790" w:rsidRPr="00DF0A08">
        <w:rPr>
          <w:i/>
          <w:iCs/>
          <w:u w:val="single"/>
        </w:rPr>
        <w:t>et seq.</w:t>
      </w:r>
      <w:r w:rsidR="00DA0790" w:rsidRPr="00DF0A08">
        <w:rPr>
          <w:u w:val="single"/>
        </w:rPr>
        <w:t xml:space="preserve"> of this code</w:t>
      </w:r>
      <w:r w:rsidR="00A67C2A">
        <w:t xml:space="preserve">, and, if the court so provides, such person shall be eligible for parole in accordance with the provisions of </w:t>
      </w:r>
      <w:r w:rsidR="00A67C2A" w:rsidRPr="00DA0790">
        <w:rPr>
          <w:strike/>
        </w:rPr>
        <w:t>said article twelve</w:t>
      </w:r>
      <w:r w:rsidR="00A67C2A">
        <w:t xml:space="preserve"> </w:t>
      </w:r>
      <w:r w:rsidR="00DA0790" w:rsidRPr="00DA0790">
        <w:rPr>
          <w:u w:val="single"/>
        </w:rPr>
        <w:t>§</w:t>
      </w:r>
      <w:r w:rsidR="00DA0790">
        <w:rPr>
          <w:u w:val="single"/>
        </w:rPr>
        <w:t xml:space="preserve">62-12-1 </w:t>
      </w:r>
      <w:r w:rsidR="00DA0790">
        <w:rPr>
          <w:i/>
          <w:iCs/>
          <w:u w:val="single"/>
        </w:rPr>
        <w:t>et seq</w:t>
      </w:r>
      <w:r w:rsidR="00DA0790" w:rsidRPr="00DA0790">
        <w:rPr>
          <w:i/>
          <w:iCs/>
          <w:u w:val="single"/>
        </w:rPr>
        <w:t>.</w:t>
      </w:r>
      <w:r w:rsidR="00DA0790" w:rsidRPr="00DA0790">
        <w:rPr>
          <w:u w:val="single"/>
        </w:rPr>
        <w:t xml:space="preserve"> of this code</w:t>
      </w:r>
      <w:r w:rsidR="00DA0790">
        <w:t xml:space="preserve"> </w:t>
      </w:r>
      <w:r w:rsidR="00A67C2A">
        <w:t xml:space="preserve">in the same manner and with like effect as if such person had been found guilty by the verdict of a jury and the jury had recommended mercy, except that, notwithstanding any provision </w:t>
      </w:r>
      <w:r w:rsidR="00DF0A08">
        <w:t xml:space="preserve">of </w:t>
      </w:r>
      <w:r w:rsidR="004B352E" w:rsidRPr="00DA0790">
        <w:rPr>
          <w:strike/>
        </w:rPr>
        <w:t>said article twelve</w:t>
      </w:r>
      <w:r w:rsidR="004B352E" w:rsidRPr="00DF0A08">
        <w:t xml:space="preserve"> </w:t>
      </w:r>
      <w:r w:rsidR="004B352E" w:rsidRPr="00DA0790">
        <w:rPr>
          <w:u w:val="single"/>
        </w:rPr>
        <w:t>§</w:t>
      </w:r>
      <w:r w:rsidR="004B352E">
        <w:rPr>
          <w:u w:val="single"/>
        </w:rPr>
        <w:t xml:space="preserve">62-12-1 </w:t>
      </w:r>
      <w:r w:rsidR="004B352E">
        <w:rPr>
          <w:i/>
          <w:iCs/>
          <w:u w:val="single"/>
        </w:rPr>
        <w:t>et seq</w:t>
      </w:r>
      <w:r w:rsidR="004B352E" w:rsidRPr="00DF0A08">
        <w:rPr>
          <w:i/>
          <w:iCs/>
          <w:u w:val="single"/>
        </w:rPr>
        <w:t>.</w:t>
      </w:r>
      <w:r w:rsidR="004B352E" w:rsidRPr="00DF0A08">
        <w:t xml:space="preserve"> </w:t>
      </w:r>
      <w:r w:rsidR="00A67C2A">
        <w:t xml:space="preserve">or any other provision of this code to the contrary, such person shall not be eligible for parole until he or she has served </w:t>
      </w:r>
      <w:r w:rsidR="00DF0A08" w:rsidRPr="00DF0A08">
        <w:rPr>
          <w:strike/>
        </w:rPr>
        <w:t>fifteen</w:t>
      </w:r>
      <w:r w:rsidR="00DF0A08">
        <w:t xml:space="preserve"> </w:t>
      </w:r>
      <w:r w:rsidR="00E016BA" w:rsidRPr="00DF0A08">
        <w:rPr>
          <w:u w:val="single"/>
        </w:rPr>
        <w:t>15</w:t>
      </w:r>
      <w:r w:rsidR="00A67C2A">
        <w:t xml:space="preserve"> years</w:t>
      </w:r>
      <w:r w:rsidR="00D20247">
        <w:t>.</w:t>
      </w:r>
    </w:p>
    <w:p w14:paraId="446CC636" w14:textId="179246F2" w:rsidR="004B352E" w:rsidRPr="004B352E" w:rsidRDefault="004B352E" w:rsidP="004B352E">
      <w:pPr>
        <w:pStyle w:val="SectionBody"/>
        <w:ind w:left="90"/>
        <w:rPr>
          <w:b/>
          <w:bCs/>
          <w:u w:val="single"/>
        </w:rPr>
        <w:sectPr w:rsidR="004B352E" w:rsidRPr="004B352E" w:rsidSect="00A67C2A">
          <w:type w:val="continuous"/>
          <w:pgSz w:w="12240" w:h="15840" w:code="1"/>
          <w:pgMar w:top="1440" w:right="1440" w:bottom="1440" w:left="1440" w:header="720" w:footer="720" w:gutter="0"/>
          <w:lnNumType w:countBy="1" w:restart="newSection"/>
          <w:cols w:space="720"/>
          <w:titlePg/>
          <w:docGrid w:linePitch="360"/>
        </w:sectPr>
      </w:pPr>
      <w:r>
        <w:rPr>
          <w:u w:val="single"/>
        </w:rPr>
        <w:t xml:space="preserve">(b)  </w:t>
      </w:r>
      <w:r w:rsidRPr="004B352E">
        <w:rPr>
          <w:u w:val="single"/>
        </w:rPr>
        <w:t xml:space="preserve">If a person indicted for </w:t>
      </w:r>
      <w:r>
        <w:rPr>
          <w:u w:val="single"/>
        </w:rPr>
        <w:t>sexual assault</w:t>
      </w:r>
      <w:r w:rsidRPr="004B352E">
        <w:rPr>
          <w:u w:val="single"/>
        </w:rPr>
        <w:t xml:space="preserve"> is found guilty by the jury, </w:t>
      </w:r>
      <w:r>
        <w:rPr>
          <w:u w:val="single"/>
        </w:rPr>
        <w:t>the jury</w:t>
      </w:r>
      <w:r w:rsidRPr="004B352E">
        <w:rPr>
          <w:u w:val="single"/>
        </w:rPr>
        <w:t xml:space="preserve"> shall in their verdict find whether he or she is guilty of </w:t>
      </w:r>
      <w:r>
        <w:rPr>
          <w:u w:val="single"/>
        </w:rPr>
        <w:t>sexual assault</w:t>
      </w:r>
      <w:r w:rsidRPr="004B352E">
        <w:rPr>
          <w:u w:val="single"/>
        </w:rPr>
        <w:t xml:space="preserve"> of the first degree or second degree. If the jury find in their verdict that </w:t>
      </w:r>
      <w:r w:rsidR="00910639">
        <w:rPr>
          <w:u w:val="single"/>
        </w:rPr>
        <w:t>the defendant</w:t>
      </w:r>
      <w:r w:rsidRPr="004B352E">
        <w:rPr>
          <w:u w:val="single"/>
        </w:rPr>
        <w:t xml:space="preserve"> is guilty of </w:t>
      </w:r>
      <w:r>
        <w:rPr>
          <w:u w:val="single"/>
        </w:rPr>
        <w:t>sexual assault</w:t>
      </w:r>
      <w:r w:rsidRPr="004B352E">
        <w:rPr>
          <w:u w:val="single"/>
        </w:rPr>
        <w:t xml:space="preserve"> of the first degree</w:t>
      </w:r>
      <w:r w:rsidR="00D26F26">
        <w:rPr>
          <w:u w:val="single"/>
        </w:rPr>
        <w:t xml:space="preserve">, is </w:t>
      </w:r>
      <w:r w:rsidR="00D26F26">
        <w:rPr>
          <w:u w:val="single"/>
        </w:rPr>
        <w:lastRenderedPageBreak/>
        <w:t>over 18 years of age, and the victim was under 12 years of age</w:t>
      </w:r>
      <w:r w:rsidRPr="004B352E">
        <w:rPr>
          <w:u w:val="single"/>
        </w:rPr>
        <w:t xml:space="preserve">, or if </w:t>
      </w:r>
      <w:r w:rsidR="00910639">
        <w:rPr>
          <w:u w:val="single"/>
        </w:rPr>
        <w:t>the defendant</w:t>
      </w:r>
      <w:r w:rsidRPr="004B352E">
        <w:rPr>
          <w:u w:val="single"/>
        </w:rPr>
        <w:t xml:space="preserve"> indicted for </w:t>
      </w:r>
      <w:r>
        <w:rPr>
          <w:u w:val="single"/>
        </w:rPr>
        <w:t>sexual assault</w:t>
      </w:r>
      <w:r w:rsidRPr="004B352E">
        <w:rPr>
          <w:u w:val="single"/>
        </w:rPr>
        <w:t xml:space="preserve"> pleads guilty of </w:t>
      </w:r>
      <w:r>
        <w:rPr>
          <w:u w:val="single"/>
        </w:rPr>
        <w:t>sexual assault</w:t>
      </w:r>
      <w:r w:rsidRPr="004B352E">
        <w:rPr>
          <w:u w:val="single"/>
        </w:rPr>
        <w:t xml:space="preserve"> of the first degree, </w:t>
      </w:r>
      <w:r w:rsidR="00D26F26">
        <w:rPr>
          <w:u w:val="single"/>
        </w:rPr>
        <w:t>is over 18 years of age, and the victim was under 12 years of age,</w:t>
      </w:r>
      <w:r w:rsidR="00D26F26" w:rsidRPr="004B352E">
        <w:rPr>
          <w:u w:val="single"/>
        </w:rPr>
        <w:t xml:space="preserve"> </w:t>
      </w:r>
      <w:r w:rsidR="00910639">
        <w:rPr>
          <w:u w:val="single"/>
        </w:rPr>
        <w:t>the defendant</w:t>
      </w:r>
      <w:r w:rsidR="00910639" w:rsidRPr="004B352E">
        <w:rPr>
          <w:u w:val="single"/>
        </w:rPr>
        <w:t xml:space="preserve"> </w:t>
      </w:r>
      <w:r w:rsidRPr="004B352E">
        <w:rPr>
          <w:u w:val="single"/>
        </w:rPr>
        <w:t>shall be punished by imprisonment in the penitentiary for life, and he or she, notwithstanding the provisions of</w:t>
      </w:r>
      <w:r>
        <w:rPr>
          <w:u w:val="single"/>
        </w:rPr>
        <w:t xml:space="preserve"> </w:t>
      </w:r>
      <w:r w:rsidRPr="004B352E">
        <w:rPr>
          <w:u w:val="single"/>
        </w:rPr>
        <w:t xml:space="preserve">§62-12-1 </w:t>
      </w:r>
      <w:r w:rsidRPr="00F83804">
        <w:rPr>
          <w:i/>
          <w:iCs/>
          <w:u w:val="single"/>
        </w:rPr>
        <w:t>et seq.</w:t>
      </w:r>
      <w:r w:rsidRPr="004B352E">
        <w:rPr>
          <w:u w:val="single"/>
        </w:rPr>
        <w:t xml:space="preserve"> of this code, shall not be eligible for parole: </w:t>
      </w:r>
      <w:r w:rsidRPr="00F83804">
        <w:rPr>
          <w:i/>
          <w:iCs/>
          <w:u w:val="single"/>
        </w:rPr>
        <w:t>Provided</w:t>
      </w:r>
      <w:r w:rsidRPr="004B352E">
        <w:rPr>
          <w:u w:val="single"/>
        </w:rPr>
        <w:t xml:space="preserve">, That the jury may, in their discretion, recommend mercy, and if such recommendation is added to their verdict, such person shall be eligible for parole in accordance with the provisions of §62-12-1 </w:t>
      </w:r>
      <w:r w:rsidRPr="00F83804">
        <w:rPr>
          <w:i/>
          <w:iCs/>
          <w:u w:val="single"/>
        </w:rPr>
        <w:t>et seq.</w:t>
      </w:r>
      <w:r w:rsidRPr="004B352E">
        <w:rPr>
          <w:u w:val="single"/>
        </w:rPr>
        <w:t xml:space="preserve"> of this code, except that, notwithstanding any other provision of this code to the contrary, such person shall not be eligible for parole until he or she has served </w:t>
      </w:r>
      <w:r w:rsidR="00E016BA">
        <w:rPr>
          <w:u w:val="single"/>
        </w:rPr>
        <w:t>15</w:t>
      </w:r>
      <w:r w:rsidRPr="004B352E">
        <w:rPr>
          <w:u w:val="single"/>
        </w:rPr>
        <w:t xml:space="preserve"> years: </w:t>
      </w:r>
      <w:r w:rsidRPr="00F83804">
        <w:rPr>
          <w:i/>
          <w:iCs/>
          <w:u w:val="single"/>
        </w:rPr>
        <w:t>Provided</w:t>
      </w:r>
      <w:r w:rsidRPr="004B352E">
        <w:rPr>
          <w:u w:val="single"/>
        </w:rPr>
        <w:t xml:space="preserve">, however, That if the accused pleads guilty of </w:t>
      </w:r>
      <w:r w:rsidR="000A52FC">
        <w:rPr>
          <w:u w:val="single"/>
        </w:rPr>
        <w:t>sexual assault</w:t>
      </w:r>
      <w:r w:rsidRPr="004B352E">
        <w:rPr>
          <w:u w:val="single"/>
        </w:rPr>
        <w:t xml:space="preserve"> of the first degree, the court may, in its discretion, provide that such person shall be eligible for parole in accordance with the provisions §62-12-1 </w:t>
      </w:r>
      <w:r w:rsidRPr="00F83804">
        <w:rPr>
          <w:i/>
          <w:iCs/>
          <w:u w:val="single"/>
        </w:rPr>
        <w:t>et seq.</w:t>
      </w:r>
      <w:r w:rsidRPr="004B352E">
        <w:rPr>
          <w:u w:val="single"/>
        </w:rPr>
        <w:t xml:space="preserve"> of this code, and, if the court so provides, such person shall be eligible for parole in accordance with the provisions of §62-12-1 </w:t>
      </w:r>
      <w:r w:rsidRPr="00F83804">
        <w:rPr>
          <w:i/>
          <w:iCs/>
          <w:u w:val="single"/>
        </w:rPr>
        <w:t>et seq</w:t>
      </w:r>
      <w:r w:rsidRPr="004B352E">
        <w:rPr>
          <w:u w:val="single"/>
        </w:rPr>
        <w:t xml:space="preserve">. of this code in the same manner and with like effect as if such person had been found guilty by the verdict of a jury and the jury had recommended mercy, except that, notwithstanding any provision </w:t>
      </w:r>
      <w:r>
        <w:rPr>
          <w:u w:val="single"/>
        </w:rPr>
        <w:t xml:space="preserve">of </w:t>
      </w:r>
      <w:r w:rsidRPr="004B352E">
        <w:rPr>
          <w:u w:val="single"/>
        </w:rPr>
        <w:t xml:space="preserve">§62-12-1 </w:t>
      </w:r>
      <w:r w:rsidRPr="00F83804">
        <w:rPr>
          <w:i/>
          <w:iCs/>
          <w:u w:val="single"/>
        </w:rPr>
        <w:t>et seq</w:t>
      </w:r>
      <w:r w:rsidRPr="004B352E">
        <w:rPr>
          <w:u w:val="single"/>
        </w:rPr>
        <w:t xml:space="preserve">. of this code or any other provision of this code to the contrary, such person shall not be eligible for parole until he or she has served </w:t>
      </w:r>
      <w:r w:rsidR="00E016BA">
        <w:rPr>
          <w:u w:val="single"/>
        </w:rPr>
        <w:t>15</w:t>
      </w:r>
      <w:r w:rsidRPr="004B352E">
        <w:rPr>
          <w:u w:val="single"/>
        </w:rPr>
        <w:t xml:space="preserve"> years</w:t>
      </w:r>
      <w:r w:rsidR="00D20247">
        <w:rPr>
          <w:u w:val="single"/>
        </w:rPr>
        <w:t>.</w:t>
      </w:r>
    </w:p>
    <w:bookmarkEnd w:id="0"/>
    <w:p w14:paraId="65897DCC" w14:textId="77777777" w:rsidR="00A67C2A" w:rsidRDefault="00A67C2A" w:rsidP="00A67C2A">
      <w:pPr>
        <w:pStyle w:val="SectionBody"/>
        <w:ind w:firstLine="0"/>
        <w:sectPr w:rsidR="00A67C2A" w:rsidSect="00A67C2A">
          <w:type w:val="continuous"/>
          <w:pgSz w:w="12240" w:h="15840" w:code="1"/>
          <w:pgMar w:top="1440" w:right="1440" w:bottom="1440" w:left="1440" w:header="720" w:footer="720" w:gutter="0"/>
          <w:lnNumType w:countBy="1" w:restart="newSection"/>
          <w:cols w:space="720"/>
          <w:titlePg/>
          <w:docGrid w:linePitch="360"/>
        </w:sectPr>
      </w:pPr>
    </w:p>
    <w:p w14:paraId="1F32D18F" w14:textId="77777777" w:rsidR="00C33014" w:rsidRDefault="00C33014" w:rsidP="00A67C2A">
      <w:pPr>
        <w:pStyle w:val="Note"/>
        <w:ind w:left="0"/>
      </w:pPr>
    </w:p>
    <w:p w14:paraId="7B9E1B76" w14:textId="24143F94" w:rsidR="006865E9" w:rsidRDefault="00CF1DCA" w:rsidP="00CC1F3B">
      <w:pPr>
        <w:pStyle w:val="Note"/>
      </w:pPr>
      <w:r>
        <w:t>NOTE: The</w:t>
      </w:r>
      <w:r w:rsidR="006865E9">
        <w:t xml:space="preserve"> purpose of this bill is to </w:t>
      </w:r>
      <w:r w:rsidR="00B803E4">
        <w:t>raise the penalty for first degree sexual assault to life in prison.</w:t>
      </w:r>
    </w:p>
    <w:p w14:paraId="7B9066C3"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A67C2A">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B6196E" w14:textId="77777777" w:rsidR="00A67C2A" w:rsidRPr="00B844FE" w:rsidRDefault="00A67C2A" w:rsidP="00B844FE">
      <w:r>
        <w:separator/>
      </w:r>
    </w:p>
  </w:endnote>
  <w:endnote w:type="continuationSeparator" w:id="0">
    <w:p w14:paraId="43F3D438" w14:textId="77777777" w:rsidR="00A67C2A" w:rsidRPr="00B844FE" w:rsidRDefault="00A67C2A"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0BACCF5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F9A39A1"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0AA45AAD"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0300659"/>
      <w:docPartObj>
        <w:docPartGallery w:val="Page Numbers (Bottom of Page)"/>
        <w:docPartUnique/>
      </w:docPartObj>
    </w:sdtPr>
    <w:sdtEndPr>
      <w:rPr>
        <w:noProof/>
      </w:rPr>
    </w:sdtEndPr>
    <w:sdtContent>
      <w:p w14:paraId="4E424604" w14:textId="47B5D7E4" w:rsidR="00E605F4" w:rsidRDefault="00E605F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A40E2D8" w14:textId="77777777" w:rsidR="00E605F4" w:rsidRDefault="00E605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3E2F15" w14:textId="77777777" w:rsidR="00A67C2A" w:rsidRPr="00B844FE" w:rsidRDefault="00A67C2A" w:rsidP="00B844FE">
      <w:r>
        <w:separator/>
      </w:r>
    </w:p>
  </w:footnote>
  <w:footnote w:type="continuationSeparator" w:id="0">
    <w:p w14:paraId="00281F7A" w14:textId="77777777" w:rsidR="00A67C2A" w:rsidRPr="00B844FE" w:rsidRDefault="00A67C2A"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E6F1E" w14:textId="77777777" w:rsidR="002A0269" w:rsidRPr="00B844FE" w:rsidRDefault="00777C74">
    <w:pPr>
      <w:pStyle w:val="Header"/>
    </w:pPr>
    <w:sdt>
      <w:sdtPr>
        <w:id w:val="-684364211"/>
        <w:placeholder>
          <w:docPart w:val="77798D86750E4FE4A5AEB669F12A735F"/>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77798D86750E4FE4A5AEB669F12A735F"/>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E9A5A" w14:textId="0CFF6022" w:rsidR="00C33014" w:rsidRPr="005456F2" w:rsidRDefault="00AE48A0" w:rsidP="000573A9">
    <w:pPr>
      <w:pStyle w:val="HeaderStyle"/>
      <w:rPr>
        <w:sz w:val="22"/>
        <w:szCs w:val="22"/>
      </w:rPr>
    </w:pPr>
    <w:r w:rsidRPr="005456F2">
      <w:rPr>
        <w:sz w:val="22"/>
        <w:szCs w:val="22"/>
      </w:rPr>
      <w:t>I</w:t>
    </w:r>
    <w:r w:rsidR="001A66B7" w:rsidRPr="005456F2">
      <w:rPr>
        <w:sz w:val="22"/>
        <w:szCs w:val="22"/>
      </w:rPr>
      <w:t xml:space="preserve">ntr </w:t>
    </w:r>
    <w:sdt>
      <w:sdtPr>
        <w:rPr>
          <w:sz w:val="22"/>
          <w:szCs w:val="22"/>
        </w:rPr>
        <w:tag w:val="BNumWH"/>
        <w:id w:val="138549797"/>
        <w:text/>
      </w:sdtPr>
      <w:sdtEndPr/>
      <w:sdtContent>
        <w:r w:rsidR="005456F2" w:rsidRPr="005456F2">
          <w:rPr>
            <w:sz w:val="22"/>
            <w:szCs w:val="22"/>
          </w:rPr>
          <w:t>SB</w:t>
        </w:r>
      </w:sdtContent>
    </w:sdt>
    <w:r w:rsidR="007A5259" w:rsidRPr="005456F2">
      <w:rPr>
        <w:sz w:val="22"/>
        <w:szCs w:val="22"/>
      </w:rPr>
      <w:t xml:space="preserve"> </w:t>
    </w:r>
    <w:r w:rsidR="00D666EE">
      <w:rPr>
        <w:sz w:val="22"/>
        <w:szCs w:val="22"/>
      </w:rPr>
      <w:t>1046</w:t>
    </w:r>
    <w:r w:rsidR="00C33014" w:rsidRPr="005456F2">
      <w:rPr>
        <w:sz w:val="22"/>
        <w:szCs w:val="22"/>
      </w:rPr>
      <w:ptab w:relativeTo="margin" w:alignment="center" w:leader="none"/>
    </w:r>
    <w:r w:rsidR="00C33014" w:rsidRPr="005456F2">
      <w:rPr>
        <w:sz w:val="22"/>
        <w:szCs w:val="22"/>
      </w:rPr>
      <w:tab/>
    </w:r>
    <w:sdt>
      <w:sdtPr>
        <w:rPr>
          <w:sz w:val="22"/>
          <w:szCs w:val="22"/>
        </w:rPr>
        <w:alias w:val="CBD Number"/>
        <w:tag w:val="CBD Number"/>
        <w:id w:val="1176923086"/>
        <w:lock w:val="sdtLocked"/>
        <w:text/>
      </w:sdtPr>
      <w:sdtEndPr/>
      <w:sdtContent>
        <w:r w:rsidR="005456F2">
          <w:rPr>
            <w:sz w:val="22"/>
            <w:szCs w:val="22"/>
          </w:rPr>
          <w:t>2026R4291</w:t>
        </w:r>
      </w:sdtContent>
    </w:sdt>
  </w:p>
  <w:p w14:paraId="13D44CBC"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0A53B" w14:textId="34B11F4B" w:rsidR="002A0269" w:rsidRPr="00D02117" w:rsidRDefault="00777C74" w:rsidP="00CC1F3B">
    <w:pPr>
      <w:pStyle w:val="HeaderStyle"/>
      <w:rPr>
        <w:sz w:val="22"/>
        <w:szCs w:val="22"/>
      </w:rPr>
    </w:pPr>
    <w:sdt>
      <w:sdtPr>
        <w:tag w:val="BNumWH"/>
        <w:id w:val="-1890952866"/>
        <w:showingPlcHdr/>
        <w:text/>
      </w:sdtPr>
      <w:sdtEndPr/>
      <w:sdtContent/>
    </w:sdt>
    <w:sdt>
      <w:sdtPr>
        <w:alias w:val="CBD Number"/>
        <w:tag w:val="CBD Number"/>
        <w:id w:val="-1798363201"/>
        <w:text/>
      </w:sdtPr>
      <w:sdtEndPr>
        <w:rPr>
          <w:sz w:val="22"/>
          <w:szCs w:val="22"/>
        </w:rPr>
      </w:sdtEndPr>
      <w:sdtContent/>
    </w:sdt>
    <w:r w:rsidR="00C33014">
      <w:tab/>
    </w:r>
    <w:sdt>
      <w:sdtPr>
        <w:alias w:val="CBD Number"/>
        <w:tag w:val="CBD Number"/>
        <w:id w:val="-944383718"/>
        <w:lock w:val="sdtLocked"/>
        <w:showingPlcHdr/>
        <w:text/>
      </w:sdtPr>
      <w:sdtEndPr/>
      <w:sdtContent>
        <w:r w:rsidR="005456F2">
          <w:t xml:space="preserve">     </w:t>
        </w:r>
      </w:sdtContent>
    </w:sdt>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15FDA" w14:textId="77777777" w:rsidR="00E310F4" w:rsidRPr="00D02117" w:rsidRDefault="00777C74" w:rsidP="00CC1F3B">
    <w:pPr>
      <w:pStyle w:val="HeaderStyle"/>
      <w:rPr>
        <w:sz w:val="22"/>
        <w:szCs w:val="22"/>
      </w:rPr>
    </w:pPr>
    <w:sdt>
      <w:sdtPr>
        <w:tag w:val="BNumWH"/>
        <w:id w:val="-1427956133"/>
        <w:showingPlcHdr/>
        <w:text/>
      </w:sdtPr>
      <w:sdtEndPr/>
      <w:sdtContent/>
    </w:sdt>
    <w:r w:rsidR="00E310F4">
      <w:t xml:space="preserve"> </w:t>
    </w:r>
    <w:r w:rsidR="00E310F4" w:rsidRPr="005456F2">
      <w:rPr>
        <w:sz w:val="22"/>
        <w:szCs w:val="22"/>
      </w:rPr>
      <w:t xml:space="preserve">Intr </w:t>
    </w:r>
    <w:sdt>
      <w:sdtPr>
        <w:rPr>
          <w:sz w:val="22"/>
          <w:szCs w:val="22"/>
        </w:rPr>
        <w:tag w:val="BNumWH"/>
        <w:id w:val="-505680606"/>
        <w:text/>
      </w:sdtPr>
      <w:sdtEndPr/>
      <w:sdtContent>
        <w:r w:rsidR="00E310F4" w:rsidRPr="005456F2">
          <w:rPr>
            <w:sz w:val="22"/>
            <w:szCs w:val="22"/>
          </w:rPr>
          <w:t>SB</w:t>
        </w:r>
      </w:sdtContent>
    </w:sdt>
    <w:r w:rsidR="00E310F4" w:rsidRPr="005456F2">
      <w:rPr>
        <w:sz w:val="22"/>
        <w:szCs w:val="22"/>
      </w:rPr>
      <w:t xml:space="preserve"> </w:t>
    </w:r>
    <w:r w:rsidR="00E310F4" w:rsidRPr="005456F2">
      <w:rPr>
        <w:sz w:val="22"/>
        <w:szCs w:val="22"/>
      </w:rPr>
      <w:ptab w:relativeTo="margin" w:alignment="center" w:leader="none"/>
    </w:r>
    <w:r w:rsidR="00E310F4" w:rsidRPr="005456F2">
      <w:rPr>
        <w:sz w:val="22"/>
        <w:szCs w:val="22"/>
      </w:rPr>
      <w:tab/>
    </w:r>
    <w:sdt>
      <w:sdtPr>
        <w:rPr>
          <w:sz w:val="22"/>
          <w:szCs w:val="22"/>
        </w:rPr>
        <w:alias w:val="CBD Number"/>
        <w:tag w:val="CBD Number"/>
        <w:id w:val="-1520388563"/>
        <w:text/>
      </w:sdtPr>
      <w:sdtEndPr/>
      <w:sdtContent>
        <w:r w:rsidR="00E310F4">
          <w:rPr>
            <w:sz w:val="22"/>
            <w:szCs w:val="22"/>
          </w:rPr>
          <w:t>2026R4291</w:t>
        </w:r>
      </w:sdtContent>
    </w:sdt>
    <w:r w:rsidR="00E310F4">
      <w:tab/>
    </w:r>
    <w:sdt>
      <w:sdtPr>
        <w:alias w:val="CBD Number"/>
        <w:tag w:val="CBD Number"/>
        <w:id w:val="798648237"/>
        <w:lock w:val="sdtLocked"/>
        <w:showingPlcHdr/>
        <w:text/>
      </w:sdtPr>
      <w:sdtEndPr/>
      <w:sdtContent>
        <w:r w:rsidR="00E310F4">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abstractNum w:abstractNumId="1" w15:restartNumberingAfterBreak="0">
    <w:nsid w:val="767400DC"/>
    <w:multiLevelType w:val="hybridMultilevel"/>
    <w:tmpl w:val="0EA63856"/>
    <w:lvl w:ilvl="0" w:tplc="1396BF0E">
      <w:start w:val="1"/>
      <w:numFmt w:val="lowerLetter"/>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887789788">
    <w:abstractNumId w:val="0"/>
  </w:num>
  <w:num w:numId="2" w16cid:durableId="475342337">
    <w:abstractNumId w:val="0"/>
  </w:num>
  <w:num w:numId="3" w16cid:durableId="2391418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7C2A"/>
    <w:rsid w:val="0000526A"/>
    <w:rsid w:val="00051D37"/>
    <w:rsid w:val="000573A9"/>
    <w:rsid w:val="00085D22"/>
    <w:rsid w:val="000A52FC"/>
    <w:rsid w:val="000C5C77"/>
    <w:rsid w:val="000E3912"/>
    <w:rsid w:val="0010070F"/>
    <w:rsid w:val="001143CA"/>
    <w:rsid w:val="0015112E"/>
    <w:rsid w:val="001552E7"/>
    <w:rsid w:val="001566B4"/>
    <w:rsid w:val="001A66B7"/>
    <w:rsid w:val="001C279E"/>
    <w:rsid w:val="001D459E"/>
    <w:rsid w:val="0023766D"/>
    <w:rsid w:val="00241FEB"/>
    <w:rsid w:val="0027011C"/>
    <w:rsid w:val="00274200"/>
    <w:rsid w:val="00275740"/>
    <w:rsid w:val="0029791A"/>
    <w:rsid w:val="002A0269"/>
    <w:rsid w:val="002B2143"/>
    <w:rsid w:val="00303684"/>
    <w:rsid w:val="003143F5"/>
    <w:rsid w:val="00314854"/>
    <w:rsid w:val="003424BA"/>
    <w:rsid w:val="00342C9B"/>
    <w:rsid w:val="00390BDF"/>
    <w:rsid w:val="00394191"/>
    <w:rsid w:val="003C3050"/>
    <w:rsid w:val="003C51CD"/>
    <w:rsid w:val="00405D3F"/>
    <w:rsid w:val="004368E0"/>
    <w:rsid w:val="00455740"/>
    <w:rsid w:val="00472976"/>
    <w:rsid w:val="004B352E"/>
    <w:rsid w:val="004C13DD"/>
    <w:rsid w:val="004D2CC5"/>
    <w:rsid w:val="004E3441"/>
    <w:rsid w:val="00500579"/>
    <w:rsid w:val="00503437"/>
    <w:rsid w:val="00511FDA"/>
    <w:rsid w:val="005456F2"/>
    <w:rsid w:val="005629D0"/>
    <w:rsid w:val="00575F35"/>
    <w:rsid w:val="005A5366"/>
    <w:rsid w:val="005D7E17"/>
    <w:rsid w:val="00615EED"/>
    <w:rsid w:val="00617ACC"/>
    <w:rsid w:val="006210B7"/>
    <w:rsid w:val="006369EB"/>
    <w:rsid w:val="00637E73"/>
    <w:rsid w:val="00672355"/>
    <w:rsid w:val="006865E9"/>
    <w:rsid w:val="00691F3E"/>
    <w:rsid w:val="00694BFB"/>
    <w:rsid w:val="006A106B"/>
    <w:rsid w:val="006C523D"/>
    <w:rsid w:val="006D4036"/>
    <w:rsid w:val="007110A7"/>
    <w:rsid w:val="00743F31"/>
    <w:rsid w:val="00777C74"/>
    <w:rsid w:val="00790A56"/>
    <w:rsid w:val="007A5259"/>
    <w:rsid w:val="007A7081"/>
    <w:rsid w:val="007E5296"/>
    <w:rsid w:val="007F1CF5"/>
    <w:rsid w:val="007F29DD"/>
    <w:rsid w:val="00834EDE"/>
    <w:rsid w:val="00867C9D"/>
    <w:rsid w:val="008736AA"/>
    <w:rsid w:val="008B4024"/>
    <w:rsid w:val="008D275D"/>
    <w:rsid w:val="00910639"/>
    <w:rsid w:val="00925D9E"/>
    <w:rsid w:val="00980327"/>
    <w:rsid w:val="00986478"/>
    <w:rsid w:val="009968ED"/>
    <w:rsid w:val="009B5557"/>
    <w:rsid w:val="009E7F9C"/>
    <w:rsid w:val="009F1067"/>
    <w:rsid w:val="00A31E01"/>
    <w:rsid w:val="00A50534"/>
    <w:rsid w:val="00A527AD"/>
    <w:rsid w:val="00A67C2A"/>
    <w:rsid w:val="00A718CF"/>
    <w:rsid w:val="00AB0024"/>
    <w:rsid w:val="00AE48A0"/>
    <w:rsid w:val="00AE61BE"/>
    <w:rsid w:val="00B16F25"/>
    <w:rsid w:val="00B17569"/>
    <w:rsid w:val="00B24422"/>
    <w:rsid w:val="00B35B32"/>
    <w:rsid w:val="00B60355"/>
    <w:rsid w:val="00B66B81"/>
    <w:rsid w:val="00B803E4"/>
    <w:rsid w:val="00B80C20"/>
    <w:rsid w:val="00B844FE"/>
    <w:rsid w:val="00B86B4F"/>
    <w:rsid w:val="00BA1F84"/>
    <w:rsid w:val="00BC562B"/>
    <w:rsid w:val="00C158FA"/>
    <w:rsid w:val="00C32FED"/>
    <w:rsid w:val="00C33014"/>
    <w:rsid w:val="00C33434"/>
    <w:rsid w:val="00C34869"/>
    <w:rsid w:val="00C42EB6"/>
    <w:rsid w:val="00C73FB7"/>
    <w:rsid w:val="00C74452"/>
    <w:rsid w:val="00C85096"/>
    <w:rsid w:val="00CB20EF"/>
    <w:rsid w:val="00CC1F3B"/>
    <w:rsid w:val="00CD12CB"/>
    <w:rsid w:val="00CD36CF"/>
    <w:rsid w:val="00CF1DCA"/>
    <w:rsid w:val="00D02117"/>
    <w:rsid w:val="00D20247"/>
    <w:rsid w:val="00D26F26"/>
    <w:rsid w:val="00D579FC"/>
    <w:rsid w:val="00D666EE"/>
    <w:rsid w:val="00D81C16"/>
    <w:rsid w:val="00DA0790"/>
    <w:rsid w:val="00DE526B"/>
    <w:rsid w:val="00DF0A08"/>
    <w:rsid w:val="00DF199D"/>
    <w:rsid w:val="00E01542"/>
    <w:rsid w:val="00E016BA"/>
    <w:rsid w:val="00E310F4"/>
    <w:rsid w:val="00E365F1"/>
    <w:rsid w:val="00E605F4"/>
    <w:rsid w:val="00E62F48"/>
    <w:rsid w:val="00E831B3"/>
    <w:rsid w:val="00E95FBC"/>
    <w:rsid w:val="00EE70CB"/>
    <w:rsid w:val="00F41CA2"/>
    <w:rsid w:val="00F443C0"/>
    <w:rsid w:val="00F62EFB"/>
    <w:rsid w:val="00F83804"/>
    <w:rsid w:val="00F939A4"/>
    <w:rsid w:val="00FA7B09"/>
    <w:rsid w:val="00FD5B51"/>
    <w:rsid w:val="00FE067E"/>
    <w:rsid w:val="00FE208F"/>
    <w:rsid w:val="00FF5D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D17413"/>
  <w15:chartTrackingRefBased/>
  <w15:docId w15:val="{0B6997C8-6F03-4528-9111-2265D9E53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A67C2A"/>
    <w:rPr>
      <w:rFonts w:eastAsia="Calibri"/>
      <w:color w:val="000000"/>
    </w:rPr>
  </w:style>
  <w:style w:type="character" w:customStyle="1" w:styleId="SectionHeadingChar">
    <w:name w:val="Section Heading Char"/>
    <w:link w:val="SectionHeading"/>
    <w:rsid w:val="00A67C2A"/>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Sen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5F3424ECF3847C79A2730D8EDCFECD6"/>
        <w:category>
          <w:name w:val="General"/>
          <w:gallery w:val="placeholder"/>
        </w:category>
        <w:types>
          <w:type w:val="bbPlcHdr"/>
        </w:types>
        <w:behaviors>
          <w:behavior w:val="content"/>
        </w:behaviors>
        <w:guid w:val="{00D97DD1-E389-4E58-9457-EB0C074DDD2D}"/>
      </w:docPartPr>
      <w:docPartBody>
        <w:p w:rsidR="00EC5186" w:rsidRDefault="00EC5186">
          <w:pPr>
            <w:pStyle w:val="A5F3424ECF3847C79A2730D8EDCFECD6"/>
          </w:pPr>
          <w:r w:rsidRPr="00B844FE">
            <w:t>Prefix Text</w:t>
          </w:r>
        </w:p>
      </w:docPartBody>
    </w:docPart>
    <w:docPart>
      <w:docPartPr>
        <w:name w:val="77798D86750E4FE4A5AEB669F12A735F"/>
        <w:category>
          <w:name w:val="General"/>
          <w:gallery w:val="placeholder"/>
        </w:category>
        <w:types>
          <w:type w:val="bbPlcHdr"/>
        </w:types>
        <w:behaviors>
          <w:behavior w:val="content"/>
        </w:behaviors>
        <w:guid w:val="{462E0809-52CF-49BC-BC00-D74E3C421665}"/>
      </w:docPartPr>
      <w:docPartBody>
        <w:p w:rsidR="00EC5186" w:rsidRDefault="00EC5186">
          <w:pPr>
            <w:pStyle w:val="77798D86750E4FE4A5AEB669F12A735F"/>
          </w:pPr>
          <w:r w:rsidRPr="00B844FE">
            <w:t>[Type here]</w:t>
          </w:r>
        </w:p>
      </w:docPartBody>
    </w:docPart>
    <w:docPart>
      <w:docPartPr>
        <w:name w:val="D39944E60E1F49749538DCDB18E366FF"/>
        <w:category>
          <w:name w:val="General"/>
          <w:gallery w:val="placeholder"/>
        </w:category>
        <w:types>
          <w:type w:val="bbPlcHdr"/>
        </w:types>
        <w:behaviors>
          <w:behavior w:val="content"/>
        </w:behaviors>
        <w:guid w:val="{71CA2FA7-28E2-494F-BBAA-71FD89898663}"/>
      </w:docPartPr>
      <w:docPartBody>
        <w:p w:rsidR="00EC5186" w:rsidRDefault="00EC5186">
          <w:pPr>
            <w:pStyle w:val="D39944E60E1F49749538DCDB18E366FF"/>
          </w:pPr>
          <w:r w:rsidRPr="00B844FE">
            <w:t>Number</w:t>
          </w:r>
        </w:p>
      </w:docPartBody>
    </w:docPart>
    <w:docPart>
      <w:docPartPr>
        <w:name w:val="0822BCAC13484EBD81145E61C77A58A5"/>
        <w:category>
          <w:name w:val="General"/>
          <w:gallery w:val="placeholder"/>
        </w:category>
        <w:types>
          <w:type w:val="bbPlcHdr"/>
        </w:types>
        <w:behaviors>
          <w:behavior w:val="content"/>
        </w:behaviors>
        <w:guid w:val="{9211CC91-E931-4AFC-A6BE-D26FF41060F5}"/>
      </w:docPartPr>
      <w:docPartBody>
        <w:p w:rsidR="00EC5186" w:rsidRDefault="00EC5186">
          <w:pPr>
            <w:pStyle w:val="0822BCAC13484EBD81145E61C77A58A5"/>
          </w:pPr>
          <w:r w:rsidRPr="00B844FE">
            <w:t>Enter Sponsors Here</w:t>
          </w:r>
        </w:p>
      </w:docPartBody>
    </w:docPart>
    <w:docPart>
      <w:docPartPr>
        <w:name w:val="B01FE4F0E940481A9A7B7C95D2F7FC8B"/>
        <w:category>
          <w:name w:val="General"/>
          <w:gallery w:val="placeholder"/>
        </w:category>
        <w:types>
          <w:type w:val="bbPlcHdr"/>
        </w:types>
        <w:behaviors>
          <w:behavior w:val="content"/>
        </w:behaviors>
        <w:guid w:val="{89AA50DC-030A-4F43-B8BD-74072E53C945}"/>
      </w:docPartPr>
      <w:docPartBody>
        <w:p w:rsidR="00EC5186" w:rsidRDefault="00EC5186">
          <w:pPr>
            <w:pStyle w:val="B01FE4F0E940481A9A7B7C95D2F7FC8B"/>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186"/>
    <w:rsid w:val="0023766D"/>
    <w:rsid w:val="002B2143"/>
    <w:rsid w:val="003C3050"/>
    <w:rsid w:val="00472976"/>
    <w:rsid w:val="00503437"/>
    <w:rsid w:val="00615EED"/>
    <w:rsid w:val="007110A7"/>
    <w:rsid w:val="008B4024"/>
    <w:rsid w:val="00A50534"/>
    <w:rsid w:val="00B60355"/>
    <w:rsid w:val="00EC51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5F3424ECF3847C79A2730D8EDCFECD6">
    <w:name w:val="A5F3424ECF3847C79A2730D8EDCFECD6"/>
  </w:style>
  <w:style w:type="paragraph" w:customStyle="1" w:styleId="77798D86750E4FE4A5AEB669F12A735F">
    <w:name w:val="77798D86750E4FE4A5AEB669F12A735F"/>
  </w:style>
  <w:style w:type="paragraph" w:customStyle="1" w:styleId="D39944E60E1F49749538DCDB18E366FF">
    <w:name w:val="D39944E60E1F49749538DCDB18E366FF"/>
  </w:style>
  <w:style w:type="paragraph" w:customStyle="1" w:styleId="0822BCAC13484EBD81145E61C77A58A5">
    <w:name w:val="0822BCAC13484EBD81145E61C77A58A5"/>
  </w:style>
  <w:style w:type="character" w:styleId="PlaceholderText">
    <w:name w:val="Placeholder Text"/>
    <w:basedOn w:val="DefaultParagraphFont"/>
    <w:uiPriority w:val="99"/>
    <w:semiHidden/>
    <w:rPr>
      <w:color w:val="808080"/>
    </w:rPr>
  </w:style>
  <w:style w:type="paragraph" w:customStyle="1" w:styleId="B01FE4F0E940481A9A7B7C95D2F7FC8B">
    <w:name w:val="B01FE4F0E940481A9A7B7C95D2F7FC8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Senate</Template>
  <TotalTime>4</TotalTime>
  <Pages>4</Pages>
  <Words>1024</Words>
  <Characters>5069</Characters>
  <Application>Microsoft Office Word</Application>
  <DocSecurity>0</DocSecurity>
  <Lines>80</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Cobb</dc:creator>
  <cp:keywords/>
  <dc:description/>
  <cp:lastModifiedBy>Dominic Lisi</cp:lastModifiedBy>
  <cp:revision>7</cp:revision>
  <cp:lastPrinted>2026-02-06T19:44:00Z</cp:lastPrinted>
  <dcterms:created xsi:type="dcterms:W3CDTF">2026-02-18T20:17:00Z</dcterms:created>
  <dcterms:modified xsi:type="dcterms:W3CDTF">2026-02-20T20:34:00Z</dcterms:modified>
</cp:coreProperties>
</file>